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b w:val="0"/>
          <w:bCs/>
          <w:color w:val="000000"/>
          <w:sz w:val="36"/>
          <w:szCs w:val="36"/>
          <w:lang w:val="en-US" w:eastAsia="zh-CN"/>
        </w:rPr>
        <w:t>桂林市临桂区收回收购存量闲置土地申报表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填报企业(盖章):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883"/>
        <w:gridCol w:w="848"/>
        <w:gridCol w:w="889"/>
        <w:gridCol w:w="1023"/>
        <w:gridCol w:w="2087"/>
        <w:gridCol w:w="618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权利人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地块名称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土地坐落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是否已办理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申报类型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XXX公司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XXX地块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</w:t>
            </w: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XX市XX县（市、区）XX路XX号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商住/其他</w:t>
            </w:r>
          </w:p>
        </w:tc>
        <w:tc>
          <w:tcPr>
            <w:tcW w:w="20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  <w:tc>
          <w:tcPr>
            <w:tcW w:w="6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企业无力或无意愿继续开发的住宅用地和商服用地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已供应未动工的住宅用地和商服用地。</w:t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2024年3月31日之前供应，目前尚未开工以及已开工未竣工的房地产用地。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both"/>
              <w:textAlignment w:val="center"/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其他用途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的土地。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进入司法或破产拍卖、变卖程序的土地。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因低效用地再开发或基础设施建设等需要收回的土地。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已动工地块中规划可分割暂未建设的部分土地。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sz w:val="28"/>
                <w:szCs w:val="28"/>
                <w:lang w:val="en-US" w:eastAsia="zh-CN" w:bidi="ar"/>
              </w:rPr>
              <w:t xml:space="preserve">£ </w:t>
            </w:r>
            <w:r>
              <w:rPr>
                <w:rStyle w:val="6"/>
                <w:rFonts w:hint="eastAsia"/>
                <w:sz w:val="28"/>
                <w:szCs w:val="28"/>
                <w:lang w:val="en-US" w:eastAsia="zh-CN" w:bidi="ar"/>
              </w:rPr>
              <w:t>属于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棚户区改造和城中村项目。</w:t>
            </w:r>
          </w:p>
        </w:tc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参考模板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1256"/>
    <w:rsid w:val="1F50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3"/>
    <w:qFormat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临桂县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2024-11-19T07:56:00Z</dcterms:created>
  <dc:creator>Administrator</dc:creator>
  <cp:lastModifiedBy>Administrator</cp:lastModifiedBy>
  <dcterms:modified xsi:type="dcterms:W3CDTF">2024-11-19T07:59:16Z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